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用外部市场的价格，挤内部成本的泡沫</w:t>
      </w:r>
    </w:p>
    <w:bookmarkEnd w:id="0"/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——武塔公司内部营销、生产经济合同签订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王超群</w:t>
      </w:r>
    </w:p>
    <w:p>
      <w:pPr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2020年1月13日上午，武塔公司营销分公司、铁塔分公司、镀锌分公司，在公司领导、履约管理部的见证下，签订内部经济合同，迈出搭建内部契约关系的第一步。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266690" cy="3950335"/>
            <wp:effectExtent l="0" t="0" r="1016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2019年底，武塔公司为加强内部成本管理，出台系列管控措施。签订内部经济合同，建立契约关系，用外部市场价格，倒逼内部成本降低，是新思路下的重要抓手。</w:t>
      </w:r>
    </w:p>
    <w:p>
      <w:pPr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项目经理成本预算的基础上，经过询价对比外部市场同电压等级铁塔的加工价格，预提合理的管理成本，就构成了内部营销分公司、铁塔分公司、镀锌分公司之间的内部生产价格。同时加入资金占用、存货列账、补件管理、延迟交货处罚、场地占用处罚等内部管控条款。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266690" cy="3950335"/>
            <wp:effectExtent l="0" t="0" r="1016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签约各方在对合同条款、价格进行了充分的沟通，明确各自的权利义务后，顺利签订合同。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B83"/>
    <w:rsid w:val="00126340"/>
    <w:rsid w:val="006F6777"/>
    <w:rsid w:val="00AE1B83"/>
    <w:rsid w:val="00B06508"/>
    <w:rsid w:val="00BA6A63"/>
    <w:rsid w:val="00F945AA"/>
    <w:rsid w:val="1D5C6769"/>
    <w:rsid w:val="361B1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</Pages>
  <Words>54</Words>
  <Characters>314</Characters>
  <Lines>2</Lines>
  <Paragraphs>1</Paragraphs>
  <TotalTime>33</TotalTime>
  <ScaleCrop>false</ScaleCrop>
  <LinksUpToDate>false</LinksUpToDate>
  <CharactersWithSpaces>367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2020-01-13T05:55:00Z</dcterms:created>
  <dc:creator>Administrator</dc:creator>
  <cp:lastModifiedBy>Jason</cp:lastModifiedBy>
  <dcterms:modified xsi:type="dcterms:W3CDTF">2020-01-13T06:55:17Z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